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pt-BR"/>
        </w:rPr>
      </w:pPr>
    </w:p>
    <w:p w:rsid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pt-BR"/>
        </w:rPr>
      </w:pPr>
      <w:bookmarkStart w:id="0" w:name="_GoBack"/>
      <w:bookmarkEnd w:id="0"/>
      <w:r w:rsidRPr="0068443F">
        <w:rPr>
          <w:rFonts w:ascii="Arial" w:eastAsia="Times New Roman" w:hAnsi="Arial" w:cs="Arial"/>
          <w:color w:val="222222"/>
          <w:sz w:val="28"/>
          <w:szCs w:val="28"/>
          <w:lang w:eastAsia="pt-BR"/>
        </w:rPr>
        <w:t>Quem toca a central petroquímica</w:t>
      </w:r>
    </w:p>
    <w:p w:rsidR="004C052E" w:rsidRPr="0068443F" w:rsidRDefault="004C052E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68443F" w:rsidRP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Enquanto as duas térmicas a carvão de São Jerônimo e Charqueadas foram</w:t>
      </w:r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br/>
        <w:t xml:space="preserve">desativadas, mantém-se em operação em Triunfo, do outro lado do rio Jacuí, a </w:t>
      </w:r>
      <w:proofErr w:type="spellStart"/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carboelétrica</w:t>
      </w:r>
      <w:proofErr w:type="spellEnd"/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da central petroquímica, cuja matéria-prima é fornecida há mais de 30 anos pela </w:t>
      </w:r>
      <w:proofErr w:type="spellStart"/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Copelmi</w:t>
      </w:r>
      <w:proofErr w:type="spellEnd"/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.</w:t>
      </w:r>
    </w:p>
    <w:p w:rsid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68443F" w:rsidRP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O carvão entrou na história da petroquímica gaúcha como uma espécie de contrapeso político colocado pelo vice-presidente da República, o mineiro Aureliano Chaves, que atuou como conciliador das divergências em torno dos objetivos econômicos e impacto ambiental da planta processadora de nafta fornecida pela Petrobras.</w:t>
      </w:r>
    </w:p>
    <w:p w:rsid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68443F" w:rsidRP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Àquela altura, no final dos anos 1970, o petróleo havia se tornado tão caro que o governo federal fazia campanha pelo emprego de combustíveis alternativos. O Proálcool estava no auge. Já se falava em energia eólica e energia solar como saídas futuras. Mas o carvão estava ali, do outro lado do rio. A despeito do seu alto teor de cinza, foi a solução.</w:t>
      </w:r>
    </w:p>
    <w:p w:rsidR="0068443F" w:rsidRP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 </w:t>
      </w:r>
    </w:p>
    <w:p w:rsidR="0068443F" w:rsidRP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Quando a Copesul foi inaugurada em 1982, a usina tinha capacidade de 30MW; em 1998, quando foi transferida para a Braskem, sua potência havia sido elevada para 74,4MW.</w:t>
      </w:r>
    </w:p>
    <w:p w:rsid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68443F" w:rsidRP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68443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Para se prevenir dos riscos de contaminação ambiental pelo dejeto (a cinza) resultante da queima do carvão, a Copesul abriu buracos para enterrá-lo. Logo de cara, uma surpresa: as cinzas da queima do carvão passaram a ser compradas por indústrias cerâmicas  </w:t>
      </w:r>
    </w:p>
    <w:p w:rsidR="0068443F" w:rsidRPr="0068443F" w:rsidRDefault="0068443F" w:rsidP="0068443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B75137" w:rsidRDefault="00B75137"/>
    <w:sectPr w:rsidR="00B751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43F"/>
    <w:rsid w:val="000576C3"/>
    <w:rsid w:val="004C052E"/>
    <w:rsid w:val="0052603D"/>
    <w:rsid w:val="0068443F"/>
    <w:rsid w:val="00B75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3E4CFB-7B86-43D2-8280-EC797A3C4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31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dcterms:created xsi:type="dcterms:W3CDTF">2019-09-24T02:00:00Z</dcterms:created>
  <dcterms:modified xsi:type="dcterms:W3CDTF">2019-09-24T02:00:00Z</dcterms:modified>
</cp:coreProperties>
</file>